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B9" w:rsidRDefault="00C626B9" w:rsidP="00C626B9">
      <w:pPr>
        <w:keepNext/>
        <w:jc w:val="center"/>
        <w:outlineLvl w:val="0"/>
        <w:rPr>
          <w:b/>
          <w:caps/>
          <w:kern w:val="28"/>
        </w:rPr>
      </w:pPr>
      <w:bookmarkStart w:id="0" w:name="_Toc51249914"/>
      <w:r>
        <w:rPr>
          <w:b/>
          <w:caps/>
          <w:kern w:val="28"/>
        </w:rPr>
        <w:t>Bhutan development bank institutional strengthening plan</w:t>
      </w:r>
      <w:bookmarkEnd w:id="0"/>
    </w:p>
    <w:p w:rsidR="00C626B9" w:rsidRDefault="00C626B9" w:rsidP="00C626B9">
      <w:pPr>
        <w:keepNext/>
        <w:jc w:val="center"/>
        <w:outlineLvl w:val="0"/>
        <w:rPr>
          <w:b/>
          <w:caps/>
          <w:kern w:val="28"/>
        </w:rPr>
      </w:pPr>
      <w:bookmarkStart w:id="1" w:name="_Toc51249915"/>
      <w:r>
        <w:rPr>
          <w:b/>
          <w:caps/>
          <w:kern w:val="28"/>
        </w:rPr>
        <w:t>key milestones and performance benchmark targets</w:t>
      </w:r>
      <w:bookmarkEnd w:id="1"/>
    </w:p>
    <w:p w:rsidR="00C626B9" w:rsidRDefault="00C626B9" w:rsidP="00C626B9">
      <w:pPr>
        <w:jc w:val="left"/>
        <w:rPr>
          <w:rFonts w:ascii="Arial Bold" w:hAnsi="Arial Bold"/>
          <w:b/>
          <w:kern w:val="28"/>
        </w:rPr>
      </w:pPr>
    </w:p>
    <w:tbl>
      <w:tblPr>
        <w:tblStyle w:val="TableGrid11"/>
        <w:tblW w:w="0" w:type="auto"/>
        <w:tblLook w:val="04A0"/>
      </w:tblPr>
      <w:tblGrid>
        <w:gridCol w:w="6925"/>
        <w:gridCol w:w="2250"/>
      </w:tblGrid>
      <w:tr w:rsidR="00C626B9" w:rsidRPr="00C7684D" w:rsidTr="00342B8E">
        <w:trPr>
          <w:tblHeader/>
        </w:trPr>
        <w:tc>
          <w:tcPr>
            <w:tcW w:w="6925" w:type="dxa"/>
            <w:shd w:val="clear" w:color="auto" w:fill="D9D9D9" w:themeFill="background1" w:themeFillShade="D9"/>
          </w:tcPr>
          <w:p w:rsidR="00C626B9" w:rsidRPr="00C7684D" w:rsidRDefault="00C626B9" w:rsidP="00342B8E">
            <w:pPr>
              <w:spacing w:after="120"/>
              <w:ind w:left="1080"/>
              <w:contextualSpacing/>
              <w:jc w:val="center"/>
              <w:rPr>
                <w:rFonts w:cs="Arial"/>
                <w:b/>
                <w:sz w:val="20"/>
              </w:rPr>
            </w:pPr>
            <w:r w:rsidRPr="00C7684D">
              <w:rPr>
                <w:rFonts w:cs="Arial"/>
                <w:b/>
                <w:sz w:val="20"/>
              </w:rPr>
              <w:t>Milestones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C626B9" w:rsidRPr="00C7684D" w:rsidRDefault="00C626B9" w:rsidP="00342B8E">
            <w:pPr>
              <w:spacing w:after="120"/>
              <w:ind w:left="1080" w:hanging="560"/>
              <w:contextualSpacing/>
              <w:rPr>
                <w:rFonts w:cs="Arial"/>
                <w:b/>
                <w:sz w:val="20"/>
              </w:rPr>
            </w:pPr>
            <w:r w:rsidRPr="00C7684D">
              <w:rPr>
                <w:rFonts w:cs="Arial"/>
                <w:b/>
                <w:sz w:val="20"/>
              </w:rPr>
              <w:t>Timeline</w:t>
            </w:r>
          </w:p>
        </w:tc>
      </w:tr>
      <w:tr w:rsidR="00C626B9" w:rsidRPr="00C7684D" w:rsidTr="00342B8E">
        <w:trPr>
          <w:trHeight w:val="2060"/>
        </w:trPr>
        <w:tc>
          <w:tcPr>
            <w:tcW w:w="6925" w:type="dxa"/>
          </w:tcPr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</w:rPr>
            </w:pPr>
            <w:r w:rsidRPr="00C7684D">
              <w:rPr>
                <w:rFonts w:ascii="Arial" w:hAnsi="Arial" w:cs="Arial"/>
                <w:bCs/>
              </w:rPr>
              <w:t xml:space="preserve">BDB forms a board sub-committee to monitor and supervise the BDB Operational Restructuring Plan implementation, and assigns focal staff at departments to a unit, which directly reports to the CEO, to implement the BDB Operational Restructuring Plan and monitor progress achieved </w:t>
            </w:r>
          </w:p>
          <w:p w:rsidR="00C626B9" w:rsidRPr="00C7684D" w:rsidRDefault="00C626B9" w:rsidP="00342B8E">
            <w:pPr>
              <w:pStyle w:val="ListParagraph"/>
              <w:ind w:left="432" w:hanging="432"/>
              <w:rPr>
                <w:rFonts w:ascii="Arial" w:hAnsi="Arial" w:cs="Arial"/>
              </w:rPr>
            </w:pPr>
          </w:p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</w:rPr>
            </w:pPr>
            <w:r w:rsidRPr="00C7684D">
              <w:rPr>
                <w:rFonts w:ascii="Arial" w:hAnsi="Arial" w:cs="Arial"/>
                <w:bCs/>
              </w:rPr>
              <w:t>BDB evaluates annually, by the end of each FY from 2021 to 2024, progress in implementing the BDB Operational Restructuring Plan, including progress against benchmark targets</w:t>
            </w:r>
          </w:p>
        </w:tc>
        <w:tc>
          <w:tcPr>
            <w:tcW w:w="2250" w:type="dxa"/>
          </w:tcPr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  <w:r w:rsidRPr="00C7684D">
              <w:rPr>
                <w:rFonts w:cs="Arial"/>
                <w:sz w:val="20"/>
              </w:rPr>
              <w:t>By December 2020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</w:p>
          <w:p w:rsidR="00C626B9" w:rsidRDefault="00C626B9" w:rsidP="00342B8E">
            <w:pPr>
              <w:ind w:left="432" w:hanging="432"/>
              <w:rPr>
                <w:rFonts w:cs="Arial"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  <w:r w:rsidRPr="00C7684D">
              <w:rPr>
                <w:rFonts w:cs="Arial"/>
                <w:sz w:val="20"/>
              </w:rPr>
              <w:t>FY2021-FY2024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</w:p>
        </w:tc>
      </w:tr>
      <w:tr w:rsidR="00C626B9" w:rsidRPr="00C7684D" w:rsidTr="00342B8E">
        <w:tc>
          <w:tcPr>
            <w:tcW w:w="9175" w:type="dxa"/>
            <w:gridSpan w:val="2"/>
            <w:shd w:val="clear" w:color="auto" w:fill="auto"/>
          </w:tcPr>
          <w:p w:rsidR="00C626B9" w:rsidRPr="00C7684D" w:rsidRDefault="00C626B9" w:rsidP="00342B8E">
            <w:pPr>
              <w:jc w:val="left"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a. Strategic Planning</w:t>
            </w:r>
          </w:p>
        </w:tc>
      </w:tr>
      <w:tr w:rsidR="00C626B9" w:rsidRPr="00C7684D" w:rsidTr="00342B8E">
        <w:tc>
          <w:tcPr>
            <w:tcW w:w="6925" w:type="dxa"/>
          </w:tcPr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 xml:space="preserve">BDB conducts a BDB FY2015–FY2019 business plan evaluation with the analysis of achievements, </w:t>
            </w:r>
            <w:r>
              <w:rPr>
                <w:rFonts w:ascii="Arial" w:hAnsi="Arial" w:cs="Arial"/>
                <w:bCs/>
              </w:rPr>
              <w:t xml:space="preserve">and </w:t>
            </w:r>
            <w:r w:rsidRPr="00C7684D">
              <w:rPr>
                <w:rFonts w:ascii="Arial" w:hAnsi="Arial" w:cs="Arial"/>
                <w:bCs/>
              </w:rPr>
              <w:t xml:space="preserve">unmet targets </w:t>
            </w:r>
          </w:p>
          <w:p w:rsidR="00C626B9" w:rsidRPr="00C7684D" w:rsidRDefault="00C626B9" w:rsidP="00342B8E">
            <w:pPr>
              <w:ind w:left="432" w:hanging="432"/>
              <w:contextualSpacing/>
              <w:rPr>
                <w:rFonts w:cs="Arial"/>
                <w:sz w:val="20"/>
              </w:rPr>
            </w:pPr>
          </w:p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contextualSpacing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 xml:space="preserve">BDB develops a FY2021–FY2024 business plan with operational targets and financial projections </w:t>
            </w:r>
          </w:p>
          <w:p w:rsidR="00C626B9" w:rsidRPr="00C7684D" w:rsidRDefault="00C626B9" w:rsidP="00342B8E">
            <w:pPr>
              <w:ind w:left="432" w:hanging="432"/>
              <w:contextualSpacing/>
              <w:rPr>
                <w:rFonts w:cs="Arial"/>
                <w:bCs/>
                <w:sz w:val="20"/>
              </w:rPr>
            </w:pPr>
          </w:p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contextualSpacing/>
              <w:rPr>
                <w:rFonts w:ascii="Arial" w:hAnsi="Arial" w:cs="Arial"/>
              </w:rPr>
            </w:pPr>
            <w:r w:rsidRPr="00C7684D">
              <w:rPr>
                <w:rFonts w:ascii="Arial" w:hAnsi="Arial" w:cs="Arial"/>
                <w:bCs/>
              </w:rPr>
              <w:t xml:space="preserve">BDB conducts, annually by the end of each FY from 2021 to 2024, a business plan evaluation, including analysis of achievement, unmet targets and corrective measures </w:t>
            </w:r>
          </w:p>
        </w:tc>
        <w:tc>
          <w:tcPr>
            <w:tcW w:w="2250" w:type="dxa"/>
          </w:tcPr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2020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  <w:r w:rsidRPr="00C7684D">
              <w:rPr>
                <w:rFonts w:cs="Arial"/>
                <w:sz w:val="20"/>
              </w:rPr>
              <w:t>By December 2021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  <w:r w:rsidRPr="00C7684D">
              <w:rPr>
                <w:rFonts w:cs="Arial"/>
                <w:sz w:val="20"/>
              </w:rPr>
              <w:t>FY2021-FY2024</w:t>
            </w:r>
          </w:p>
        </w:tc>
      </w:tr>
      <w:tr w:rsidR="00C626B9" w:rsidRPr="00C7684D" w:rsidTr="00342B8E">
        <w:tc>
          <w:tcPr>
            <w:tcW w:w="9175" w:type="dxa"/>
            <w:gridSpan w:val="2"/>
            <w:shd w:val="clear" w:color="auto" w:fill="auto"/>
          </w:tcPr>
          <w:p w:rsidR="00C626B9" w:rsidRPr="00C7684D" w:rsidRDefault="00C626B9" w:rsidP="00342B8E">
            <w:pPr>
              <w:contextualSpacing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b. Corporate Governance</w:t>
            </w:r>
          </w:p>
        </w:tc>
      </w:tr>
      <w:tr w:rsidR="00C626B9" w:rsidRPr="00C7684D" w:rsidTr="00342B8E">
        <w:tc>
          <w:tcPr>
            <w:tcW w:w="6925" w:type="dxa"/>
          </w:tcPr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 xml:space="preserve">BDB adopts TOR of a deputy CEO responsible for the credit operation </w:t>
            </w:r>
          </w:p>
          <w:p w:rsidR="00C626B9" w:rsidRPr="00C7684D" w:rsidRDefault="00C626B9" w:rsidP="00342B8E">
            <w:pPr>
              <w:pStyle w:val="ListParagraph"/>
              <w:ind w:left="432" w:hanging="432"/>
              <w:rPr>
                <w:rFonts w:ascii="Arial" w:hAnsi="Arial" w:cs="Arial"/>
                <w:bCs/>
              </w:rPr>
            </w:pPr>
          </w:p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 xml:space="preserve">BDB’s Board approves appointment of a deputy CEO with the qualification and experience in banking and finance </w:t>
            </w:r>
          </w:p>
          <w:p w:rsidR="00C626B9" w:rsidRPr="00C7684D" w:rsidRDefault="00C626B9" w:rsidP="00342B8E">
            <w:pPr>
              <w:ind w:left="432" w:hanging="432"/>
              <w:contextualSpacing/>
              <w:rPr>
                <w:rFonts w:cs="Arial"/>
                <w:bCs/>
                <w:sz w:val="20"/>
              </w:rPr>
            </w:pPr>
          </w:p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>MOF recommends at least two individuals to serve on BDB’s Board, in accordance with the Corporate Governance Rules and Regulations on RMA and with professional background in banking and finance</w:t>
            </w:r>
          </w:p>
          <w:p w:rsidR="00C626B9" w:rsidRPr="00C7684D" w:rsidRDefault="00C626B9" w:rsidP="00342B8E">
            <w:pPr>
              <w:pStyle w:val="ListParagraph"/>
              <w:ind w:left="432" w:hanging="432"/>
              <w:rPr>
                <w:rFonts w:ascii="Arial" w:hAnsi="Arial" w:cs="Arial"/>
                <w:bCs/>
              </w:rPr>
            </w:pPr>
          </w:p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 xml:space="preserve">BDB facilitates an independent compliance review on RMA’s Corporate Governance Rules and Regulations of 2018  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</w:rPr>
            </w:pPr>
            <w:r w:rsidRPr="00C7684D">
              <w:rPr>
                <w:rFonts w:ascii="Arial" w:hAnsi="Arial" w:cs="Arial"/>
                <w:bCs/>
              </w:rPr>
              <w:t xml:space="preserve">BDB conducts training on bank and financial management and rural finance to the members of BDB’s Board </w:t>
            </w:r>
          </w:p>
        </w:tc>
        <w:tc>
          <w:tcPr>
            <w:tcW w:w="2250" w:type="dxa"/>
          </w:tcPr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2020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2021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</w:p>
          <w:p w:rsidR="00C626B9" w:rsidRDefault="00C626B9" w:rsidP="00342B8E">
            <w:pPr>
              <w:rPr>
                <w:rFonts w:cs="Arial"/>
                <w:sz w:val="20"/>
              </w:rPr>
            </w:pPr>
          </w:p>
          <w:p w:rsidR="00C626B9" w:rsidRPr="00C7684D" w:rsidRDefault="00C626B9" w:rsidP="00342B8E">
            <w:pPr>
              <w:jc w:val="left"/>
              <w:rPr>
                <w:rFonts w:cs="Arial"/>
                <w:bCs/>
                <w:sz w:val="20"/>
              </w:rPr>
            </w:pPr>
            <w:proofErr w:type="spellStart"/>
            <w:r w:rsidRPr="00C7684D">
              <w:rPr>
                <w:rFonts w:cs="Arial"/>
                <w:sz w:val="20"/>
              </w:rPr>
              <w:t>ByDecember</w:t>
            </w:r>
            <w:proofErr w:type="spellEnd"/>
            <w:r w:rsidRPr="00C7684D">
              <w:rPr>
                <w:rFonts w:cs="Arial"/>
                <w:sz w:val="20"/>
              </w:rPr>
              <w:t xml:space="preserve"> 2021</w:t>
            </w:r>
            <w:r w:rsidRPr="00C7684D">
              <w:rPr>
                <w:rFonts w:cs="Arial"/>
                <w:sz w:val="20"/>
              </w:rPr>
              <w:tab/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2021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2021</w:t>
            </w:r>
          </w:p>
        </w:tc>
      </w:tr>
      <w:tr w:rsidR="00C626B9" w:rsidRPr="00C7684D" w:rsidTr="00342B8E">
        <w:tc>
          <w:tcPr>
            <w:tcW w:w="9175" w:type="dxa"/>
            <w:gridSpan w:val="2"/>
            <w:shd w:val="clear" w:color="auto" w:fill="auto"/>
          </w:tcPr>
          <w:p w:rsidR="00C626B9" w:rsidRPr="00C7684D" w:rsidRDefault="00C626B9" w:rsidP="00342B8E">
            <w:pPr>
              <w:contextualSpacing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c. Human Resources and Training</w:t>
            </w:r>
          </w:p>
        </w:tc>
      </w:tr>
      <w:tr w:rsidR="00C626B9" w:rsidRPr="00C7684D" w:rsidTr="00342B8E">
        <w:tc>
          <w:tcPr>
            <w:tcW w:w="6925" w:type="dxa"/>
          </w:tcPr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contextualSpacing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 xml:space="preserve">BDB develops a staff redeployment and recruitment plan to attain number of active accounts per credit officer not more than 270 across branches  </w:t>
            </w:r>
          </w:p>
          <w:p w:rsidR="00C626B9" w:rsidRPr="00C7684D" w:rsidRDefault="00C626B9" w:rsidP="00342B8E">
            <w:pPr>
              <w:ind w:left="432" w:hanging="432"/>
              <w:contextualSpacing/>
              <w:rPr>
                <w:rFonts w:cs="Arial"/>
                <w:bCs/>
                <w:sz w:val="20"/>
              </w:rPr>
            </w:pPr>
          </w:p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contextualSpacing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 xml:space="preserve">BDB evaluates annually, by the end of each FY from 2021 to 2024, the implementation of the staff redeployment and recruitment plan </w:t>
            </w:r>
          </w:p>
        </w:tc>
        <w:tc>
          <w:tcPr>
            <w:tcW w:w="2250" w:type="dxa"/>
          </w:tcPr>
          <w:p w:rsidR="00C626B9" w:rsidRPr="00C7684D" w:rsidRDefault="00C626B9" w:rsidP="00342B8E">
            <w:pPr>
              <w:widowControl w:val="0"/>
              <w:ind w:left="432" w:hanging="432"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2021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FY2021-FY2024</w:t>
            </w:r>
            <w:r w:rsidRPr="00C7684D">
              <w:rPr>
                <w:rFonts w:cs="Arial"/>
                <w:bCs/>
                <w:sz w:val="20"/>
              </w:rPr>
              <w:tab/>
            </w:r>
          </w:p>
        </w:tc>
      </w:tr>
      <w:tr w:rsidR="00C626B9" w:rsidRPr="00C7684D" w:rsidTr="00342B8E">
        <w:tc>
          <w:tcPr>
            <w:tcW w:w="9175" w:type="dxa"/>
            <w:gridSpan w:val="2"/>
            <w:shd w:val="clear" w:color="auto" w:fill="auto"/>
          </w:tcPr>
          <w:p w:rsidR="00C626B9" w:rsidRPr="00C7684D" w:rsidRDefault="00C626B9" w:rsidP="00342B8E">
            <w:pPr>
              <w:contextualSpacing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d. Information Technology</w:t>
            </w:r>
          </w:p>
        </w:tc>
      </w:tr>
      <w:tr w:rsidR="00C626B9" w:rsidRPr="00C7684D" w:rsidTr="00342B8E">
        <w:tc>
          <w:tcPr>
            <w:tcW w:w="6925" w:type="dxa"/>
          </w:tcPr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 xml:space="preserve">BDB reviews CBS system data, reconcile discrepancies, and fills the bank data fields 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7568B6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 xml:space="preserve">BDB conducts annual IT audit </w:t>
            </w:r>
          </w:p>
        </w:tc>
        <w:tc>
          <w:tcPr>
            <w:tcW w:w="2250" w:type="dxa"/>
          </w:tcPr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  <w:r w:rsidRPr="00C7684D">
              <w:rPr>
                <w:rFonts w:cs="Arial"/>
                <w:sz w:val="20"/>
              </w:rPr>
              <w:t>By June 2021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  <w:r w:rsidRPr="00C7684D">
              <w:rPr>
                <w:rFonts w:cs="Arial"/>
                <w:sz w:val="20"/>
              </w:rPr>
              <w:t>By December 2021</w:t>
            </w:r>
          </w:p>
        </w:tc>
      </w:tr>
      <w:tr w:rsidR="00C626B9" w:rsidRPr="00C7684D" w:rsidTr="00342B8E">
        <w:tc>
          <w:tcPr>
            <w:tcW w:w="9175" w:type="dxa"/>
            <w:gridSpan w:val="2"/>
            <w:shd w:val="clear" w:color="auto" w:fill="auto"/>
          </w:tcPr>
          <w:p w:rsidR="00C626B9" w:rsidRPr="00C7684D" w:rsidRDefault="00C626B9" w:rsidP="00342B8E">
            <w:pPr>
              <w:ind w:left="288" w:hanging="288"/>
              <w:contextualSpacing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e. Internal Audit and Fraud Control</w:t>
            </w:r>
          </w:p>
        </w:tc>
      </w:tr>
      <w:tr w:rsidR="00C626B9" w:rsidRPr="00C7684D" w:rsidTr="00342B8E">
        <w:tc>
          <w:tcPr>
            <w:tcW w:w="6925" w:type="dxa"/>
          </w:tcPr>
          <w:p w:rsidR="00C626B9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contextualSpacing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>BDB places a compliance focal</w:t>
            </w:r>
            <w:r>
              <w:rPr>
                <w:rFonts w:ascii="Arial" w:hAnsi="Arial" w:cs="Arial"/>
                <w:bCs/>
              </w:rPr>
              <w:t xml:space="preserve"> person</w:t>
            </w:r>
            <w:r w:rsidRPr="00C7684D">
              <w:rPr>
                <w:rFonts w:ascii="Arial" w:hAnsi="Arial" w:cs="Arial"/>
                <w:bCs/>
              </w:rPr>
              <w:t xml:space="preserve"> at each branch </w:t>
            </w:r>
          </w:p>
          <w:p w:rsidR="00C626B9" w:rsidRPr="007568B6" w:rsidRDefault="00C626B9" w:rsidP="00342B8E">
            <w:pPr>
              <w:pStyle w:val="ListParagraph"/>
              <w:ind w:left="432"/>
              <w:contextualSpacing/>
              <w:rPr>
                <w:rFonts w:ascii="Arial" w:hAnsi="Arial" w:cs="Arial"/>
                <w:bCs/>
              </w:rPr>
            </w:pPr>
          </w:p>
          <w:p w:rsidR="00C626B9" w:rsidRPr="007568B6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contextualSpacing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 xml:space="preserve">BDB develops comprehensive internal control and compliance framework </w:t>
            </w:r>
          </w:p>
        </w:tc>
        <w:tc>
          <w:tcPr>
            <w:tcW w:w="2250" w:type="dxa"/>
          </w:tcPr>
          <w:p w:rsidR="00C626B9" w:rsidRPr="00C7684D" w:rsidRDefault="00C626B9" w:rsidP="00342B8E">
            <w:pPr>
              <w:widowControl w:val="0"/>
              <w:rPr>
                <w:rFonts w:cs="Arial"/>
                <w:sz w:val="20"/>
              </w:rPr>
            </w:pPr>
            <w:r w:rsidRPr="00C7684D">
              <w:rPr>
                <w:rFonts w:cs="Arial"/>
                <w:sz w:val="20"/>
              </w:rPr>
              <w:t>By December 2021</w:t>
            </w:r>
          </w:p>
          <w:p w:rsidR="00C626B9" w:rsidRPr="00C7684D" w:rsidRDefault="00C626B9" w:rsidP="00342B8E">
            <w:pPr>
              <w:ind w:left="432" w:hanging="432"/>
              <w:contextualSpacing/>
              <w:rPr>
                <w:rFonts w:cs="Arial"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jc w:val="left"/>
              <w:rPr>
                <w:rFonts w:cs="Arial"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2021</w:t>
            </w:r>
            <w:r w:rsidRPr="00C7684D">
              <w:rPr>
                <w:rFonts w:cs="Arial"/>
                <w:bCs/>
                <w:sz w:val="20"/>
              </w:rPr>
              <w:tab/>
            </w:r>
          </w:p>
        </w:tc>
      </w:tr>
      <w:tr w:rsidR="00C626B9" w:rsidRPr="00C7684D" w:rsidTr="00342B8E">
        <w:tc>
          <w:tcPr>
            <w:tcW w:w="9175" w:type="dxa"/>
            <w:gridSpan w:val="2"/>
            <w:shd w:val="clear" w:color="auto" w:fill="auto"/>
          </w:tcPr>
          <w:p w:rsidR="00C626B9" w:rsidRPr="00C7684D" w:rsidRDefault="00C626B9" w:rsidP="00342B8E">
            <w:pPr>
              <w:contextualSpacing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lastRenderedPageBreak/>
              <w:t>f. Risk Management</w:t>
            </w:r>
          </w:p>
        </w:tc>
      </w:tr>
      <w:tr w:rsidR="00C626B9" w:rsidRPr="00C7684D" w:rsidTr="00342B8E">
        <w:tc>
          <w:tcPr>
            <w:tcW w:w="6925" w:type="dxa"/>
          </w:tcPr>
          <w:p w:rsidR="00C626B9" w:rsidRPr="007568B6" w:rsidRDefault="00C626B9" w:rsidP="00C626B9">
            <w:pPr>
              <w:pStyle w:val="ListParagraph"/>
              <w:numPr>
                <w:ilvl w:val="2"/>
                <w:numId w:val="1"/>
              </w:numPr>
              <w:tabs>
                <w:tab w:val="clear" w:pos="-180"/>
              </w:tabs>
              <w:ind w:left="432" w:hanging="432"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>BDB risk management division adopts the new reporting template including branch analysis, asset liability maturity mismatch and scenario analysis</w:t>
            </w:r>
          </w:p>
        </w:tc>
        <w:tc>
          <w:tcPr>
            <w:tcW w:w="2250" w:type="dxa"/>
          </w:tcPr>
          <w:p w:rsidR="00C626B9" w:rsidRPr="00C7684D" w:rsidRDefault="00C626B9" w:rsidP="00342B8E">
            <w:pPr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2021</w:t>
            </w:r>
          </w:p>
        </w:tc>
      </w:tr>
      <w:tr w:rsidR="00C626B9" w:rsidRPr="00C7684D" w:rsidTr="00342B8E">
        <w:tc>
          <w:tcPr>
            <w:tcW w:w="9175" w:type="dxa"/>
            <w:gridSpan w:val="2"/>
            <w:shd w:val="clear" w:color="auto" w:fill="auto"/>
          </w:tcPr>
          <w:p w:rsidR="00C626B9" w:rsidRPr="00C7684D" w:rsidRDefault="00C626B9" w:rsidP="00342B8E">
            <w:pPr>
              <w:ind w:left="-23"/>
              <w:contextualSpacing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g. Loan Products</w:t>
            </w:r>
          </w:p>
        </w:tc>
      </w:tr>
      <w:tr w:rsidR="00C626B9" w:rsidRPr="00C7684D" w:rsidTr="00342B8E">
        <w:tc>
          <w:tcPr>
            <w:tcW w:w="6925" w:type="dxa"/>
          </w:tcPr>
          <w:p w:rsidR="00C626B9" w:rsidRPr="007568B6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contextualSpacing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 xml:space="preserve">BDB conducts a loan product review exercise and rationalizes its number of loan products so as to align with BDB’s corporate vision and mission </w:t>
            </w:r>
          </w:p>
        </w:tc>
        <w:tc>
          <w:tcPr>
            <w:tcW w:w="2250" w:type="dxa"/>
          </w:tcPr>
          <w:p w:rsidR="00C626B9" w:rsidRPr="00C7684D" w:rsidRDefault="00C626B9" w:rsidP="00342B8E">
            <w:pPr>
              <w:ind w:left="432" w:hanging="432"/>
              <w:rPr>
                <w:rFonts w:cs="Arial"/>
                <w:sz w:val="20"/>
              </w:rPr>
            </w:pPr>
            <w:r w:rsidRPr="00C7684D">
              <w:rPr>
                <w:rFonts w:cs="Arial"/>
                <w:sz w:val="20"/>
              </w:rPr>
              <w:t>By December 2021</w:t>
            </w:r>
          </w:p>
        </w:tc>
      </w:tr>
      <w:tr w:rsidR="00C626B9" w:rsidRPr="00C7684D" w:rsidTr="00342B8E">
        <w:tc>
          <w:tcPr>
            <w:tcW w:w="9175" w:type="dxa"/>
            <w:gridSpan w:val="2"/>
            <w:shd w:val="clear" w:color="auto" w:fill="auto"/>
          </w:tcPr>
          <w:p w:rsidR="00C626B9" w:rsidRPr="00C7684D" w:rsidRDefault="00C626B9" w:rsidP="00342B8E">
            <w:pPr>
              <w:contextualSpacing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h. CSI Outreach</w:t>
            </w:r>
          </w:p>
        </w:tc>
      </w:tr>
      <w:tr w:rsidR="00C626B9" w:rsidRPr="00C7684D" w:rsidTr="00342B8E">
        <w:tc>
          <w:tcPr>
            <w:tcW w:w="6925" w:type="dxa"/>
          </w:tcPr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</w:rPr>
            </w:pPr>
            <w:r w:rsidRPr="00C7684D">
              <w:rPr>
                <w:rFonts w:ascii="Arial" w:hAnsi="Arial" w:cs="Arial"/>
                <w:bCs/>
              </w:rPr>
              <w:t xml:space="preserve">BDB creates a dedicated unit to promote gender inclusive group-based loans </w:t>
            </w:r>
            <w:r w:rsidRPr="00C7684D">
              <w:rPr>
                <w:rFonts w:ascii="Arial" w:hAnsi="Arial" w:cs="Arial"/>
              </w:rPr>
              <w:tab/>
            </w:r>
          </w:p>
          <w:p w:rsidR="00C626B9" w:rsidRPr="00C7684D" w:rsidRDefault="00C626B9" w:rsidP="00342B8E">
            <w:pPr>
              <w:pStyle w:val="ListParagraph"/>
              <w:ind w:left="432" w:hanging="432"/>
              <w:rPr>
                <w:rFonts w:ascii="Arial" w:hAnsi="Arial" w:cs="Arial"/>
              </w:rPr>
            </w:pPr>
          </w:p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</w:rPr>
            </w:pPr>
            <w:r w:rsidRPr="00C7684D">
              <w:rPr>
                <w:rFonts w:ascii="Arial" w:hAnsi="Arial" w:cs="Arial"/>
                <w:bCs/>
              </w:rPr>
              <w:t xml:space="preserve">BDB revises group loan manuals </w:t>
            </w:r>
          </w:p>
          <w:p w:rsidR="00C626B9" w:rsidRPr="00C7684D" w:rsidRDefault="00C626B9" w:rsidP="00342B8E">
            <w:pPr>
              <w:pStyle w:val="ListParagraph"/>
              <w:ind w:left="432" w:hanging="432"/>
              <w:rPr>
                <w:rFonts w:ascii="Arial" w:hAnsi="Arial" w:cs="Arial"/>
                <w:bCs/>
              </w:rPr>
            </w:pPr>
          </w:p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</w:rPr>
            </w:pPr>
            <w:r w:rsidRPr="00C7684D">
              <w:rPr>
                <w:rFonts w:ascii="Arial" w:hAnsi="Arial" w:cs="Arial"/>
                <w:bCs/>
              </w:rPr>
              <w:t xml:space="preserve">BDB develops a group loan operational plan with outreach and financial targets as well as social mobilization and financial literacy targets  </w:t>
            </w:r>
          </w:p>
          <w:p w:rsidR="00C626B9" w:rsidRPr="004C383B" w:rsidRDefault="00C626B9" w:rsidP="00342B8E">
            <w:pPr>
              <w:pStyle w:val="ListParagraph"/>
              <w:ind w:left="432" w:hanging="432"/>
              <w:rPr>
                <w:rFonts w:ascii="Arial" w:hAnsi="Arial" w:cs="Arial"/>
                <w:bCs/>
              </w:rPr>
            </w:pPr>
          </w:p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cs="Arial"/>
              </w:rPr>
            </w:pPr>
            <w:r w:rsidRPr="004C383B">
              <w:rPr>
                <w:rFonts w:ascii="Arial" w:hAnsi="Arial" w:cs="Arial"/>
                <w:bCs/>
              </w:rPr>
              <w:t xml:space="preserve">BDB introduces POS or tablet banking at category A and B </w:t>
            </w:r>
            <w:proofErr w:type="spellStart"/>
            <w:r w:rsidRPr="004C383B">
              <w:rPr>
                <w:rFonts w:ascii="Arial" w:hAnsi="Arial" w:cs="Arial"/>
                <w:bCs/>
              </w:rPr>
              <w:t>branches</w:t>
            </w:r>
            <w:r w:rsidRPr="004C383B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</w:tcPr>
          <w:p w:rsidR="00C626B9" w:rsidRPr="00C7684D" w:rsidRDefault="00C626B9" w:rsidP="00342B8E">
            <w:pPr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2021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  <w:proofErr w:type="spellStart"/>
            <w:r w:rsidRPr="00C7684D">
              <w:rPr>
                <w:rFonts w:cs="Arial"/>
                <w:bCs/>
                <w:sz w:val="20"/>
              </w:rPr>
              <w:t>Dy</w:t>
            </w:r>
            <w:proofErr w:type="spellEnd"/>
            <w:r w:rsidRPr="00C7684D">
              <w:rPr>
                <w:rFonts w:cs="Arial"/>
                <w:bCs/>
                <w:sz w:val="20"/>
              </w:rPr>
              <w:t xml:space="preserve"> December 2021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2021</w:t>
            </w:r>
          </w:p>
          <w:p w:rsidR="00C626B9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2021</w:t>
            </w:r>
          </w:p>
        </w:tc>
      </w:tr>
      <w:tr w:rsidR="00C626B9" w:rsidRPr="00C7684D" w:rsidTr="00342B8E">
        <w:tc>
          <w:tcPr>
            <w:tcW w:w="9175" w:type="dxa"/>
            <w:gridSpan w:val="2"/>
            <w:shd w:val="clear" w:color="auto" w:fill="auto"/>
          </w:tcPr>
          <w:p w:rsidR="00C626B9" w:rsidRPr="00C7684D" w:rsidRDefault="00C626B9" w:rsidP="00342B8E">
            <w:pPr>
              <w:contextualSpacing/>
              <w:rPr>
                <w:rFonts w:cs="Arial"/>
                <w:bCs/>
                <w:sz w:val="20"/>
              </w:rPr>
            </w:pPr>
            <w:proofErr w:type="spellStart"/>
            <w:r w:rsidRPr="00C7684D">
              <w:rPr>
                <w:rFonts w:cs="Arial"/>
                <w:bCs/>
                <w:sz w:val="20"/>
              </w:rPr>
              <w:t>i</w:t>
            </w:r>
            <w:proofErr w:type="spellEnd"/>
            <w:r w:rsidRPr="00C7684D">
              <w:rPr>
                <w:rFonts w:cs="Arial"/>
                <w:bCs/>
                <w:sz w:val="20"/>
              </w:rPr>
              <w:t>. Portfolio Quality</w:t>
            </w:r>
          </w:p>
        </w:tc>
      </w:tr>
      <w:tr w:rsidR="00C626B9" w:rsidRPr="00C7684D" w:rsidTr="00342B8E">
        <w:tc>
          <w:tcPr>
            <w:tcW w:w="6925" w:type="dxa"/>
          </w:tcPr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>BDB creates a dedicated unit on NPL resolution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>BDB adopts new credit appraisal templates which are tailored for different types of products and sectors as well as based on risk and cash flow</w:t>
            </w:r>
          </w:p>
          <w:p w:rsidR="00C626B9" w:rsidRPr="00C7684D" w:rsidRDefault="00C626B9" w:rsidP="00342B8E">
            <w:pPr>
              <w:pStyle w:val="ListParagraph"/>
              <w:ind w:left="432" w:hanging="432"/>
              <w:rPr>
                <w:rFonts w:ascii="Arial" w:hAnsi="Arial" w:cs="Arial"/>
                <w:bCs/>
              </w:rPr>
            </w:pPr>
          </w:p>
          <w:p w:rsidR="00C626B9" w:rsidRPr="00C7684D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 xml:space="preserve">BDB adopts a comprehensive NPL resolution framework </w:t>
            </w:r>
          </w:p>
          <w:p w:rsidR="00C626B9" w:rsidRPr="00C7684D" w:rsidRDefault="00C626B9" w:rsidP="00342B8E">
            <w:pPr>
              <w:pStyle w:val="ListParagraph"/>
              <w:ind w:left="432" w:hanging="432"/>
              <w:rPr>
                <w:rFonts w:ascii="Arial" w:hAnsi="Arial" w:cs="Arial"/>
                <w:bCs/>
              </w:rPr>
            </w:pPr>
          </w:p>
          <w:p w:rsidR="00C626B9" w:rsidRPr="007568B6" w:rsidRDefault="00C626B9" w:rsidP="00C626B9">
            <w:pPr>
              <w:pStyle w:val="ListParagraph"/>
              <w:numPr>
                <w:ilvl w:val="2"/>
                <w:numId w:val="1"/>
              </w:numPr>
              <w:ind w:left="432" w:hanging="432"/>
              <w:rPr>
                <w:rFonts w:ascii="Arial" w:hAnsi="Arial" w:cs="Arial"/>
                <w:bCs/>
              </w:rPr>
            </w:pPr>
            <w:r w:rsidRPr="00C7684D">
              <w:rPr>
                <w:rFonts w:ascii="Arial" w:hAnsi="Arial" w:cs="Arial"/>
                <w:bCs/>
              </w:rPr>
              <w:t>BDB revises its credit manual and initiates a risk-based scoring system and interest rate setting methodologies for different loan products</w:t>
            </w:r>
          </w:p>
        </w:tc>
        <w:tc>
          <w:tcPr>
            <w:tcW w:w="2250" w:type="dxa"/>
          </w:tcPr>
          <w:p w:rsidR="00C626B9" w:rsidRPr="00C7684D" w:rsidRDefault="00C626B9" w:rsidP="00342B8E">
            <w:pPr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2020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2020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June 2021</w:t>
            </w: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</w:p>
          <w:p w:rsidR="00C626B9" w:rsidRPr="00C7684D" w:rsidRDefault="00C626B9" w:rsidP="00342B8E">
            <w:pPr>
              <w:ind w:left="432" w:hanging="432"/>
              <w:rPr>
                <w:rFonts w:cs="Arial"/>
                <w:bCs/>
                <w:sz w:val="20"/>
              </w:rPr>
            </w:pPr>
            <w:r w:rsidRPr="00C7684D">
              <w:rPr>
                <w:rFonts w:cs="Arial"/>
                <w:bCs/>
                <w:sz w:val="20"/>
              </w:rPr>
              <w:t>By December 2022</w:t>
            </w:r>
          </w:p>
        </w:tc>
      </w:tr>
    </w:tbl>
    <w:p w:rsidR="00C626B9" w:rsidRPr="004F0444" w:rsidRDefault="00C626B9" w:rsidP="00C626B9">
      <w:pPr>
        <w:ind w:right="270"/>
        <w:rPr>
          <w:rFonts w:cs="Arial"/>
          <w:sz w:val="18"/>
          <w:szCs w:val="18"/>
        </w:rPr>
      </w:pPr>
      <w:r w:rsidRPr="004F0444">
        <w:rPr>
          <w:rFonts w:cs="Arial"/>
          <w:sz w:val="18"/>
          <w:szCs w:val="18"/>
        </w:rPr>
        <w:t xml:space="preserve">ADB = Asian Development Bank, BDB = Bhutan Bank Development, </w:t>
      </w:r>
      <w:r>
        <w:rPr>
          <w:rFonts w:cs="Arial"/>
          <w:sz w:val="18"/>
          <w:szCs w:val="18"/>
        </w:rPr>
        <w:t xml:space="preserve">CAR = capital adequacy ratio, </w:t>
      </w:r>
      <w:r w:rsidRPr="004F0444">
        <w:rPr>
          <w:rFonts w:cs="Arial"/>
          <w:sz w:val="18"/>
          <w:szCs w:val="18"/>
        </w:rPr>
        <w:t>CBS = core banking system, CEO = chief executive officer, FY = fiscal year, IT = information technology, MIS = management information system, MOF = Ministry of Finance, POS = point-of-sale, RMA = Royal Monetary Authority, TOR = terms of reference.</w:t>
      </w:r>
    </w:p>
    <w:p w:rsidR="00C626B9" w:rsidRPr="004F0444" w:rsidRDefault="00C626B9" w:rsidP="00C626B9">
      <w:pPr>
        <w:ind w:left="180" w:right="270" w:hanging="180"/>
        <w:rPr>
          <w:rFonts w:cs="Arial"/>
          <w:sz w:val="18"/>
          <w:szCs w:val="18"/>
        </w:rPr>
      </w:pPr>
      <w:r w:rsidRPr="004F0444">
        <w:rPr>
          <w:rFonts w:cs="Arial"/>
          <w:sz w:val="18"/>
          <w:szCs w:val="18"/>
          <w:vertAlign w:val="superscript"/>
        </w:rPr>
        <w:t>a</w:t>
      </w:r>
      <w:r>
        <w:rPr>
          <w:rFonts w:cs="Arial"/>
          <w:sz w:val="18"/>
          <w:szCs w:val="18"/>
        </w:rPr>
        <w:tab/>
      </w:r>
      <w:r w:rsidRPr="004F0444">
        <w:rPr>
          <w:rFonts w:cs="Arial"/>
          <w:sz w:val="18"/>
          <w:szCs w:val="18"/>
        </w:rPr>
        <w:t>Category A and B branches are defined based on BDB’s branch categorization parameters, and largely defined as category A branches are branches with credit accounts of more than 6,000 and credit portfolio of more than Nu700 million; category B branches are branches with credit accounts of more than 3,000 and credit portfolio of more than Nu600 million, but below category A branches.</w:t>
      </w:r>
    </w:p>
    <w:p w:rsidR="00C626B9" w:rsidRDefault="00C626B9" w:rsidP="00C626B9">
      <w:pPr>
        <w:ind w:right="270"/>
        <w:rPr>
          <w:rFonts w:cs="Arial"/>
          <w:sz w:val="18"/>
          <w:szCs w:val="18"/>
        </w:rPr>
      </w:pPr>
      <w:r w:rsidRPr="004F0444">
        <w:rPr>
          <w:rFonts w:cs="Arial"/>
          <w:sz w:val="18"/>
          <w:szCs w:val="18"/>
        </w:rPr>
        <w:t>Source: ADB.</w:t>
      </w:r>
    </w:p>
    <w:p w:rsidR="00196AA3" w:rsidRDefault="00C626B9"/>
    <w:sectPr w:rsidR="00196AA3" w:rsidSect="0092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04491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25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1260" w:hanging="720"/>
      </w:pPr>
      <w:rPr>
        <w:rFonts w:ascii="Arial" w:hAnsi="Arial" w:cs="Arial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480" w:hanging="720"/>
      </w:pPr>
      <w:rPr>
        <w:rFonts w:hint="default"/>
      </w:rPr>
    </w:lvl>
  </w:abstractNum>
  <w:num w:numId="1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6B9"/>
    <w:rsid w:val="002D29F4"/>
    <w:rsid w:val="007825E1"/>
    <w:rsid w:val="00926C8E"/>
    <w:rsid w:val="00C6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B9"/>
    <w:pPr>
      <w:spacing w:after="0" w:line="240" w:lineRule="auto"/>
      <w:jc w:val="both"/>
    </w:pPr>
    <w:rPr>
      <w:rFonts w:ascii="Arial" w:eastAsia="MS Mincho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ed List Paragraph,ADB paragraph numbering,ADB Normal,List_Paragraph,Multilevel para_II,List Paragraph + Number,AFSN List Paragraph,Colorful List - Accent 11,Arial,CORE-1.1.1"/>
    <w:basedOn w:val="Normal"/>
    <w:link w:val="ListParagraphChar"/>
    <w:uiPriority w:val="34"/>
    <w:qFormat/>
    <w:rsid w:val="00C626B9"/>
    <w:pPr>
      <w:ind w:left="720"/>
      <w:jc w:val="left"/>
    </w:pPr>
    <w:rPr>
      <w:rFonts w:ascii="Times New Roman" w:hAnsi="Times New Roman"/>
      <w:sz w:val="20"/>
    </w:rPr>
  </w:style>
  <w:style w:type="character" w:customStyle="1" w:styleId="ListParagraphChar">
    <w:name w:val="List Paragraph Char"/>
    <w:aliases w:val="List Paragraph1 Char,Recommendation Char,List Paragraph11 Char,Bulleted List Paragraph Char,ADB paragraph numbering Char,ADB Normal Char,List_Paragraph Char,Multilevel para_II Char,List Paragraph + Number Char,Arial Char"/>
    <w:link w:val="ListParagraph"/>
    <w:uiPriority w:val="34"/>
    <w:qFormat/>
    <w:locked/>
    <w:rsid w:val="00C626B9"/>
    <w:rPr>
      <w:rFonts w:ascii="Times New Roman" w:eastAsia="MS Mincho" w:hAnsi="Times New Roman" w:cs="Times New Roman"/>
      <w:sz w:val="20"/>
      <w:szCs w:val="20"/>
    </w:rPr>
  </w:style>
  <w:style w:type="table" w:customStyle="1" w:styleId="TableGrid11">
    <w:name w:val="Table Grid11"/>
    <w:basedOn w:val="TableNormal"/>
    <w:uiPriority w:val="39"/>
    <w:rsid w:val="00C626B9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62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yezer.peldon</dc:creator>
  <cp:lastModifiedBy>yezer.peldon</cp:lastModifiedBy>
  <cp:revision>1</cp:revision>
  <dcterms:created xsi:type="dcterms:W3CDTF">2021-09-09T09:23:00Z</dcterms:created>
  <dcterms:modified xsi:type="dcterms:W3CDTF">2021-09-09T09:23:00Z</dcterms:modified>
</cp:coreProperties>
</file>